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895350</wp:posOffset>
            </wp:positionV>
            <wp:extent cx="5944870" cy="892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40" w:right="3940" w:hanging="69"/>
        <w:spacing w:after="0" w:line="4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7365D"/>
        </w:rPr>
        <w:t>INTERNATIONAL INNOVATIVE CENTER «PERSPEKTIVAPLUS</w:t>
      </w:r>
      <w:r>
        <w:rPr>
          <w:rFonts w:ascii="Arial" w:cs="Arial" w:eastAsia="Arial" w:hAnsi="Arial"/>
          <w:sz w:val="22"/>
          <w:szCs w:val="22"/>
          <w:color w:val="000000"/>
        </w:rPr>
        <w:t>»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635</wp:posOffset>
            </wp:positionV>
            <wp:extent cx="2113280" cy="1084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5694680</wp:posOffset>
            </wp:positionH>
            <wp:positionV relativeFrom="paragraph">
              <wp:posOffset>635</wp:posOffset>
            </wp:positionV>
            <wp:extent cx="39370" cy="1968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320"/>
        <w:spacing w:after="0"/>
        <w:rPr>
          <w:rFonts w:ascii="Arial" w:cs="Arial" w:eastAsia="Arial" w:hAnsi="Arial"/>
          <w:sz w:val="22"/>
          <w:szCs w:val="22"/>
          <w:i w:val="1"/>
          <w:iCs w:val="1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Site:</w:t>
      </w:r>
      <w:hyperlink r:id="rId11">
        <w:r>
          <w:rPr>
            <w:rFonts w:ascii="Arial" w:cs="Arial" w:eastAsia="Arial" w:hAnsi="Arial"/>
            <w:sz w:val="22"/>
            <w:szCs w:val="22"/>
            <w:i w:val="1"/>
            <w:iCs w:val="1"/>
            <w:color w:val="0000FF"/>
          </w:rPr>
          <w:t>http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color w:val="0000FF"/>
            <w:highlight w:val="white"/>
          </w:rPr>
          <w:t>:// perspektiva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color w:val="auto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u w:val="single" w:color="auto"/>
            <w:color w:val="0000FF"/>
            <w:highlight w:val="white"/>
          </w:rPr>
          <w:t>-plus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color w:val="auto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u w:val="single" w:color="auto"/>
            <w:color w:val="0000FF"/>
          </w:rPr>
          <w:t>.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color w:val="auto"/>
          </w:rPr>
          <w:t xml:space="preserve"> </w:t>
        </w:r>
        <w:r>
          <w:rPr>
            <w:rFonts w:ascii="Arial" w:cs="Arial" w:eastAsia="Arial" w:hAnsi="Arial"/>
            <w:sz w:val="22"/>
            <w:szCs w:val="22"/>
            <w:i w:val="1"/>
            <w:iCs w:val="1"/>
            <w:u w:val="single" w:color="auto"/>
            <w:color w:val="0000FF"/>
            <w:highlight w:val="white"/>
          </w:rPr>
          <w:t>pro/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4333240</wp:posOffset>
            </wp:positionH>
            <wp:positionV relativeFrom="paragraph">
              <wp:posOffset>8255</wp:posOffset>
            </wp:positionV>
            <wp:extent cx="1056640" cy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E-mail: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3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Masarykovatřída 668/29,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Teplice, Czech Republic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60" w:right="20" w:firstLine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Приглашаем принять участие в Международной научно-практической конференции.</w:t>
      </w:r>
    </w:p>
    <w:p>
      <w:pPr>
        <w:ind w:left="260" w:firstLine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 конференции: «Актуальные вопросы современного образования и воспитания»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и задачи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980" w:right="20" w:hanging="356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повышения профессионального мастерства педагогов, распространение эффективного педагогического опыта;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 инновационных педагогических технологий в образовательном процессе; смотр педагогических достижений в процессе деятельности педагога;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Распространение педагогического опыта;</w:t>
      </w:r>
    </w:p>
    <w:p>
      <w:pPr>
        <w:ind w:left="980" w:hanging="356"/>
        <w:spacing w:after="0" w:line="236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Поддержка и развитие научно-методической работы педагогов.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Языки:  русский,  английский,  чешский,  немецкий,  французский,  казахский,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монгольский, белорусский, украинский, татарский языки и т. д.</w:t>
      </w: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Организационный комитет конференции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980" w:right="20" w:hanging="356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ДугарджавЛувсанцэрэнгийн,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ind w:left="1080" w:hanging="456"/>
        <w:spacing w:after="0"/>
        <w:tabs>
          <w:tab w:leader="none" w:pos="10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Тарасов Сергей Анатольевич, основатель и руководитель Открытой Европейской</w:t>
      </w:r>
    </w:p>
    <w:p>
      <w:pPr>
        <w:jc w:val="both"/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академии экономики и политики город Прага, доктор философии, специалист по международным отношениям, управлением персоналом и экономики, руководитель проекта Европейской ассоциации преподавателей вузов город Гамбург.</w:t>
      </w:r>
    </w:p>
    <w:p>
      <w:pPr>
        <w:ind w:left="980" w:right="20" w:hanging="356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Максимова Ольга Пурбаевна, руководитель Русского центра при Улан-Баторском филиале «РЭУ им. Г. В. Плеханова».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Шушкевич Светлана Николаевна, Ph.d, генеральный директор Международного центра «Perspektivaplus», профессор РАЕ, психолог, писатель-публицист.</w:t>
      </w:r>
    </w:p>
    <w:p>
      <w:pPr>
        <w:ind w:left="980" w:hanging="356"/>
        <w:spacing w:after="0" w:line="234" w:lineRule="auto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Мамунова Татьяна Матвеевна, кандидат педагогических наук, доцент.</w:t>
      </w:r>
    </w:p>
    <w:p>
      <w:pPr>
        <w:ind w:left="10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Электронный адрес Оргкомитета: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perspektiva.1969@gmail.com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участия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40" w:right="4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Конференция проводится в заочной форме. Статьи можно опубликовать в Международном сборнике «Культура, просвещение, литература» (Чехия, Канада).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направления конференции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620" w:right="2980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Секция 1. Актуальные вопросы современного образования Секция 2. ФГОС и особенности их применения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610" w:gutter="0" w:footer="0" w:header="0"/>
        </w:sectPr>
      </w:pPr>
    </w:p>
    <w:bookmarkStart w:id="1" w:name="page2"/>
    <w:bookmarkEnd w:id="1"/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Секция 3. Инновационные технологии в педагогической деятельности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Секция 4. Открытое занятие и особенности его проведения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Секция 5. Патриотическое воспитание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Секция 6. Работа с трудными подростками и современной молодёжью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Секция 7. Работа с родителями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620" w:right="230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Секция 8. История педагогики и образования Секция 9. Теория и методика обучения и воспитания Секция 10. Теория и методика дошкольного образования Секция 11. Теория и методика профессионального образования Секция 12. Теория и методика физического воспитания Секция 13. Дополнительное образование Секция 14. Музыкальное образование Секция 15. Коррекционная педагогика Секция 16. Психология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620" w:right="50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Секция 17. Теория, методика и организация социально-культурной деятельности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ОФОРМЛЕНИЮ МАТЕРИАЛОВ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Формат текста: Wordfor Windows.Формат страницы: А4 (210x297 мм). Поля: 2,5 см –</w:t>
      </w:r>
    </w:p>
    <w:p>
      <w:pPr>
        <w:jc w:val="both"/>
        <w:ind w:left="48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 всех сторон. Шрифт: размер (кегль) – 14; тип – Times New Roman.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Название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печатается прописными буквами, шрифт – жирный, выравнивание по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центру. Ниже через двойной интервал строчными буквами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инициалы и 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автора(ов)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На следующей строке 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полное название организации, город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После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отступа в 2 интервала следует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аннотация, ключевые 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за которыми через 2 интервала – текст,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печатаемый через одинарный интервал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Equation или MathType), графики не должны выходить за пределы указанных полей (шрифт в таблицах и на рисунках – не менее 11 пт). Ссылки на литературу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 квадратных скобках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Наличие списка литературы обязательно. Переносы не ставить.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Максимальное количество страниц – 10.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both"/>
        <w:ind w:left="480" w:right="20" w:firstLine="8"/>
        <w:spacing w:after="0" w:line="256" w:lineRule="auto"/>
        <w:tabs>
          <w:tab w:leader="none" w:pos="75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электронном варианте каждая статья должна быть в отдельном файле. В имени файла укажите шифр (СТ-13), номер секции и фамилию первого автора (например, СТ-13 Секция 9 Петров).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48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Сведения об авторах требуется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оформить в табличной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В имени файла со сведениями об авторе укажите шифр конференции и фамилию первого автора (например, СТ-12 Петров).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СВЕДЕНИЯ ОБ АВТОРЕ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245110</wp:posOffset>
            </wp:positionH>
            <wp:positionV relativeFrom="paragraph">
              <wp:posOffset>201930</wp:posOffset>
            </wp:positionV>
            <wp:extent cx="5927090" cy="13817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65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27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Ф.И.О. автора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работы/учёбы (ВУЗ, ССУЗ или др. организация)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40" w:right="270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Должность, кафедра без сокращений, ученая степень, ученое звание (при наличии)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 рабочий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 домашний</w:t>
      </w:r>
    </w:p>
    <w:p>
      <w:pPr>
        <w:sectPr>
          <w:pgSz w:w="11900" w:h="16840" w:orient="portrait"/>
          <w:cols w:equalWidth="0" w:num="1">
            <w:col w:w="9400"/>
          </w:cols>
          <w:pgMar w:left="1440" w:top="1116" w:right="1060" w:bottom="847" w:gutter="0" w:footer="0" w:header="0"/>
        </w:sectPr>
      </w:pPr>
    </w:p>
    <w:bookmarkStart w:id="2" w:name="page3"/>
    <w:bookmarkEnd w:id="2"/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1159510</wp:posOffset>
            </wp:positionH>
            <wp:positionV relativeFrom="page">
              <wp:posOffset>717550</wp:posOffset>
            </wp:positionV>
            <wp:extent cx="5927090" cy="32410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24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13970" cy="265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27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Контактный телефон</w:t>
      </w:r>
    </w:p>
    <w:p>
      <w:pPr>
        <w:sectPr>
          <w:pgSz w:w="11900" w:h="16840" w:orient="portrait"/>
          <w:cols w:equalWidth="0" w:num="1">
            <w:col w:w="9820"/>
          </w:cols>
          <w:pgMar w:left="1440" w:top="1080" w:right="640" w:bottom="612" w:gutter="0" w:footer="0" w:header="0"/>
        </w:sectPr>
      </w:pP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565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статьи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Шифр конференции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секции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374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СТ-15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640" w:space="720"/>
            <w:col w:w="2460"/>
          </w:cols>
          <w:pgMar w:left="1440" w:top="1080" w:right="640" w:bottom="612" w:gutter="0" w:footer="0" w:header="0"/>
          <w:type w:val="continuous"/>
        </w:sect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Количество страниц в докладе автора</w:t>
      </w:r>
    </w:p>
    <w:p>
      <w:pPr>
        <w:sectPr>
          <w:pgSz w:w="11900" w:h="16840" w:orient="portrait"/>
          <w:cols w:equalWidth="0" w:num="1">
            <w:col w:w="982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380" w:right="2520"/>
        <w:spacing w:after="0" w:line="249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38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сертификат участника конференции электронный экземпляр сборника </w:t>
      </w:r>
      <w:r>
        <w:rPr>
          <w:sz w:val="1"/>
          <w:szCs w:val="1"/>
          <w:color w:val="auto"/>
        </w:rPr>
        <w:drawing>
          <wp:inline distT="0" distB="0" distL="0" distR="0">
            <wp:extent cx="13970" cy="238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печатный экземпляр сборника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374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да/нет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да/нет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да/нет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640" w:space="720"/>
            <w:col w:w="2460"/>
          </w:cols>
          <w:pgMar w:left="1440" w:top="1080" w:right="640" w:bottom="612" w:gutter="0" w:footer="0" w:header="0"/>
          <w:type w:val="continuous"/>
        </w:sect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Требуемое количество экземпляров сборника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40" w:right="344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Адрес, на который высылать сборник и/или сертификат (с указанием индекса и фамилии получателя)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" cy="219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2184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Сумма и дата оплаты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Источник, из которого Вы узнали о конференции</w:t>
      </w:r>
    </w:p>
    <w:p>
      <w:pPr>
        <w:sectPr>
          <w:pgSz w:w="11900" w:h="16840" w:orient="portrait"/>
          <w:cols w:equalWidth="0" w:num="1">
            <w:col w:w="982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jc w:val="both"/>
        <w:ind w:left="260" w:right="20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Материалы, сведения об авторах и отсканированные квитанции об оплате (в разных файлах) необходимо отправить в одном письме по адресу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00FF"/>
        </w:rPr>
        <w:t>perspektiva.1969@gmail.com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00FF"/>
        </w:rPr>
        <w:t xml:space="preserve">28 февраля 2021года.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Контактное лицо 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Шушкевич Светлана Николаевна.</w:t>
      </w:r>
    </w:p>
    <w:p>
      <w:pPr>
        <w:jc w:val="both"/>
        <w:ind w:left="260" w:right="200" w:firstLine="70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просьба</w:t>
      </w:r>
    </w:p>
    <w:p>
      <w:pPr>
        <w:jc w:val="both"/>
        <w:ind w:left="260" w:right="20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продублировать заявку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 окончании конференции участники получают сертификаты участников и сертификаты публикации!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 w:right="8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133985</wp:posOffset>
            </wp:positionV>
            <wp:extent cx="6127750" cy="17754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080" w:right="640" w:bottom="612" w:gutter="0" w:footer="0" w:header="0"/>
          <w:type w:val="continuous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4276 4100 1737 8464 (Александр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080" w:right="640" w:bottom="612" w:gutter="0" w:footer="0" w:header="0"/>
          <w:type w:val="continuous"/>
        </w:sectPr>
      </w:pP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60" w:right="4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у статьи несколько авторов, то оплачивается оргвзнос в полном объеме + 50 рублей за каждого автора (как пример).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платежей из-за границы: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sectPr>
          <w:pgSz w:w="11900" w:h="16840" w:orient="portrait"/>
          <w:cols w:equalWidth="0" w:num="1">
            <w:col w:w="9820"/>
          </w:cols>
          <w:pgMar w:left="1440" w:top="1080" w:right="640" w:bottom="612" w:gutter="0" w:footer="0" w:header="0"/>
          <w:type w:val="continuous"/>
        </w:sectPr>
      </w:pPr>
    </w:p>
    <w:bookmarkStart w:id="3" w:name="page4"/>
    <w:bookmarkEnd w:id="3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1500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86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243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2,7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-1545590</wp:posOffset>
            </wp:positionV>
            <wp:extent cx="6630670" cy="16802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перевод</w:t>
      </w:r>
    </w:p>
    <w:sectPr>
      <w:pgSz w:w="11900" w:h="16840" w:orient="portrait"/>
      <w:cols w:equalWidth="0" w:num="1">
        <w:col w:w="10200"/>
      </w:cols>
      <w:pgMar w:left="740" w:top="1111" w:right="9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625558EC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2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11" Type="http://schemas.openxmlformats.org/officeDocument/2006/relationships/hyperlink" Target="http://perspektiva-plus.pro/" TargetMode="External"/><Relationship Id="rId13" Type="http://schemas.openxmlformats.org/officeDocument/2006/relationships/hyperlink" Target="mailto:vesna%D0%B0777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2021-02-02T08:06:19Z</dcterms:created>
  <dcterms:modified xsi:type="dcterms:W3CDTF">2021-02-02T08:06:19Z</dcterms:modified>
</cp:coreProperties>
</file>